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C55" w:rsidRDefault="00AC2C55" w:rsidP="00AC2C55">
      <w:pPr>
        <w:autoSpaceDE w:val="0"/>
        <w:autoSpaceDN w:val="0"/>
        <w:adjustRightInd w:val="0"/>
        <w:spacing w:after="0" w:line="240" w:lineRule="auto"/>
        <w:jc w:val="center"/>
        <w:rPr>
          <w:rFonts w:ascii="Franklin Gothic Demi" w:hAnsi="Franklin Gothic Demi" w:cs="Franklin Gothic Demi"/>
          <w:color w:val="000000"/>
          <w:sz w:val="44"/>
          <w:szCs w:val="24"/>
        </w:rPr>
      </w:pPr>
    </w:p>
    <w:p w:rsidR="00A71F28" w:rsidRDefault="00A71F28" w:rsidP="00AC2C55">
      <w:pPr>
        <w:autoSpaceDE w:val="0"/>
        <w:autoSpaceDN w:val="0"/>
        <w:adjustRightInd w:val="0"/>
        <w:spacing w:after="0" w:line="240" w:lineRule="auto"/>
        <w:jc w:val="center"/>
        <w:rPr>
          <w:rFonts w:ascii="Franklin Gothic Demi" w:hAnsi="Franklin Gothic Demi" w:cs="Franklin Gothic Demi"/>
          <w:color w:val="000000"/>
          <w:sz w:val="44"/>
          <w:szCs w:val="24"/>
        </w:rPr>
      </w:pPr>
      <w:bookmarkStart w:id="0" w:name="_GoBack"/>
      <w:bookmarkEnd w:id="0"/>
    </w:p>
    <w:p w:rsidR="00AC2C55" w:rsidRDefault="00AC2C55" w:rsidP="00AC2C55">
      <w:pPr>
        <w:autoSpaceDE w:val="0"/>
        <w:autoSpaceDN w:val="0"/>
        <w:adjustRightInd w:val="0"/>
        <w:spacing w:after="0" w:line="240" w:lineRule="auto"/>
        <w:jc w:val="center"/>
        <w:rPr>
          <w:rFonts w:ascii="Franklin Gothic Demi" w:hAnsi="Franklin Gothic Demi" w:cs="Franklin Gothic Demi"/>
          <w:color w:val="000000"/>
          <w:sz w:val="44"/>
          <w:szCs w:val="24"/>
        </w:rPr>
      </w:pPr>
    </w:p>
    <w:p w:rsidR="00AC2C55" w:rsidRPr="00AC2C55" w:rsidRDefault="00AC2C55" w:rsidP="00AC2C55">
      <w:pPr>
        <w:autoSpaceDE w:val="0"/>
        <w:autoSpaceDN w:val="0"/>
        <w:adjustRightInd w:val="0"/>
        <w:spacing w:after="0" w:line="240" w:lineRule="auto"/>
        <w:jc w:val="center"/>
        <w:rPr>
          <w:rFonts w:ascii="Franklin Gothic Demi" w:hAnsi="Franklin Gothic Demi" w:cs="Franklin Gothic Demi"/>
          <w:color w:val="000000"/>
          <w:sz w:val="36"/>
          <w:szCs w:val="24"/>
        </w:rPr>
      </w:pPr>
    </w:p>
    <w:p w:rsidR="00AC2C55" w:rsidRDefault="00AC2C55" w:rsidP="00AC2C55">
      <w:pPr>
        <w:pStyle w:val="Default"/>
        <w:jc w:val="center"/>
      </w:pPr>
      <w:r w:rsidRPr="00AC2C55">
        <w:rPr>
          <w:rFonts w:ascii="Franklin Gothic Demi" w:hAnsi="Franklin Gothic Demi" w:cs="Franklin Gothic Demi"/>
          <w:sz w:val="36"/>
          <w:szCs w:val="36"/>
        </w:rPr>
        <w:t>Parliamentary Law Month Proclamation April 2025</w:t>
      </w:r>
    </w:p>
    <w:p w:rsidR="00AC2C55" w:rsidRPr="00AC2C55" w:rsidRDefault="00AC2C55" w:rsidP="00AC2C55">
      <w:pPr>
        <w:pStyle w:val="Default"/>
        <w:rPr>
          <w:sz w:val="28"/>
          <w:szCs w:val="28"/>
        </w:rPr>
      </w:pPr>
    </w:p>
    <w:p w:rsidR="00AC2C55" w:rsidRPr="00AC2C55" w:rsidRDefault="00AC2C55" w:rsidP="00AC2C55">
      <w:pPr>
        <w:pStyle w:val="Default"/>
        <w:spacing w:before="120"/>
        <w:ind w:firstLine="720"/>
        <w:jc w:val="both"/>
        <w:rPr>
          <w:szCs w:val="28"/>
        </w:rPr>
      </w:pPr>
      <w:r w:rsidRPr="00AC2C55">
        <w:rPr>
          <w:b/>
          <w:szCs w:val="28"/>
        </w:rPr>
        <w:t>WHEREAS</w:t>
      </w:r>
      <w:r w:rsidRPr="00AC2C55">
        <w:rPr>
          <w:szCs w:val="28"/>
        </w:rPr>
        <w:t xml:space="preserve">, in this the birth month of Thomas Jefferson, author of the first American manual of parliamentary procedure in 1801, it is fitting that we honor him and reflect upon the importance of parliamentary procedure in democratic organizations. </w:t>
      </w:r>
    </w:p>
    <w:p w:rsidR="00AC2C55" w:rsidRPr="00AC2C55" w:rsidRDefault="00AC2C55" w:rsidP="00AC2C55">
      <w:pPr>
        <w:pStyle w:val="Default"/>
        <w:spacing w:before="120"/>
        <w:ind w:firstLine="720"/>
        <w:jc w:val="both"/>
        <w:rPr>
          <w:szCs w:val="28"/>
        </w:rPr>
      </w:pPr>
      <w:r w:rsidRPr="00AC2C55">
        <w:rPr>
          <w:b/>
          <w:szCs w:val="28"/>
        </w:rPr>
        <w:t>WHEREAS</w:t>
      </w:r>
      <w:r w:rsidRPr="00AC2C55">
        <w:rPr>
          <w:szCs w:val="28"/>
        </w:rPr>
        <w:t xml:space="preserve">, on this the eve of the birth month of Henry Martyn Robert, author of </w:t>
      </w:r>
      <w:r w:rsidRPr="00AC2C55">
        <w:rPr>
          <w:i/>
          <w:iCs/>
          <w:szCs w:val="28"/>
        </w:rPr>
        <w:t>Pocket Manual of Rules of Order for Deliberative Assemblies</w:t>
      </w:r>
      <w:r w:rsidRPr="00AC2C55">
        <w:rPr>
          <w:szCs w:val="28"/>
        </w:rPr>
        <w:t xml:space="preserve">, also known as </w:t>
      </w:r>
      <w:r w:rsidRPr="00AC2C55">
        <w:rPr>
          <w:i/>
          <w:iCs/>
          <w:szCs w:val="28"/>
        </w:rPr>
        <w:t>Robert’s Rules of Order</w:t>
      </w:r>
      <w:r w:rsidRPr="00AC2C55">
        <w:rPr>
          <w:szCs w:val="28"/>
        </w:rPr>
        <w:t xml:space="preserve">, first published in 1876, it is a worthwhile time to honor him and to celebrate his contributions to the field of parliamentary procedure. </w:t>
      </w:r>
    </w:p>
    <w:p w:rsidR="00AC2C55" w:rsidRPr="00AC2C55" w:rsidRDefault="00AC2C55" w:rsidP="00AC2C55">
      <w:pPr>
        <w:pStyle w:val="Default"/>
        <w:spacing w:before="120"/>
        <w:ind w:firstLine="720"/>
        <w:jc w:val="both"/>
        <w:rPr>
          <w:szCs w:val="28"/>
        </w:rPr>
      </w:pPr>
      <w:r w:rsidRPr="00AC2C55">
        <w:rPr>
          <w:b/>
          <w:szCs w:val="28"/>
        </w:rPr>
        <w:t>WHEREAS</w:t>
      </w:r>
      <w:r w:rsidRPr="00AC2C55">
        <w:rPr>
          <w:szCs w:val="28"/>
        </w:rPr>
        <w:t xml:space="preserve"> </w:t>
      </w:r>
      <w:r w:rsidRPr="00AC2C55">
        <w:rPr>
          <w:i/>
          <w:iCs/>
          <w:szCs w:val="28"/>
        </w:rPr>
        <w:t xml:space="preserve">Robert’s Rules of Order Newly Revised </w:t>
      </w:r>
      <w:r w:rsidRPr="00AC2C55">
        <w:rPr>
          <w:szCs w:val="28"/>
        </w:rPr>
        <w:t xml:space="preserve">is the most widely recognized and used parliamentary authority in public and private organizations throughout the world; </w:t>
      </w:r>
    </w:p>
    <w:p w:rsidR="00AC2C55" w:rsidRPr="00AC2C55" w:rsidRDefault="00AC2C55" w:rsidP="00AC2C55">
      <w:pPr>
        <w:pStyle w:val="Default"/>
        <w:spacing w:before="120"/>
        <w:ind w:firstLine="720"/>
        <w:jc w:val="both"/>
        <w:rPr>
          <w:szCs w:val="28"/>
        </w:rPr>
      </w:pPr>
      <w:r w:rsidRPr="00AC2C55">
        <w:rPr>
          <w:b/>
          <w:szCs w:val="28"/>
        </w:rPr>
        <w:t>WHEREAS</w:t>
      </w:r>
      <w:r w:rsidRPr="00AC2C55">
        <w:rPr>
          <w:szCs w:val="28"/>
        </w:rPr>
        <w:t xml:space="preserve">, </w:t>
      </w:r>
      <w:proofErr w:type="gramStart"/>
      <w:r w:rsidRPr="00AC2C55">
        <w:rPr>
          <w:szCs w:val="28"/>
        </w:rPr>
        <w:t>It</w:t>
      </w:r>
      <w:proofErr w:type="gramEnd"/>
      <w:r w:rsidRPr="00AC2C55">
        <w:rPr>
          <w:szCs w:val="28"/>
        </w:rPr>
        <w:t xml:space="preserve"> is timely to reflect on the importance of parliamentary procedure in meetings in providing for civil discourse, protecting individual rights, ensuring fairness, and maintaining order; </w:t>
      </w:r>
    </w:p>
    <w:p w:rsidR="00AC2C55" w:rsidRPr="00AC2C55" w:rsidRDefault="00AC2C55" w:rsidP="00AC2C55">
      <w:pPr>
        <w:pStyle w:val="Default"/>
        <w:spacing w:before="120"/>
        <w:ind w:firstLine="720"/>
        <w:jc w:val="both"/>
        <w:rPr>
          <w:szCs w:val="28"/>
        </w:rPr>
      </w:pPr>
      <w:r w:rsidRPr="00AC2C55">
        <w:rPr>
          <w:b/>
          <w:szCs w:val="28"/>
        </w:rPr>
        <w:t>WHEREAS</w:t>
      </w:r>
      <w:r w:rsidRPr="00AC2C55">
        <w:rPr>
          <w:szCs w:val="28"/>
        </w:rPr>
        <w:t xml:space="preserve">, The National Association of Parliamentarians® has, by adoption of a standing rule, designated the month of April as Parliamentary Law Month; </w:t>
      </w:r>
    </w:p>
    <w:p w:rsidR="00AC2C55" w:rsidRPr="00AC2C55" w:rsidRDefault="00AC2C55" w:rsidP="00AC2C55">
      <w:pPr>
        <w:pStyle w:val="Default"/>
        <w:spacing w:before="120"/>
        <w:ind w:firstLine="720"/>
        <w:jc w:val="both"/>
        <w:rPr>
          <w:szCs w:val="28"/>
        </w:rPr>
      </w:pPr>
      <w:r w:rsidRPr="00AC2C55">
        <w:rPr>
          <w:b/>
          <w:szCs w:val="28"/>
        </w:rPr>
        <w:t>WHEREAS</w:t>
      </w:r>
      <w:r w:rsidRPr="00AC2C55">
        <w:rPr>
          <w:szCs w:val="28"/>
        </w:rPr>
        <w:t xml:space="preserve">, The National Association of Parliamentarians® is committed to educating leaders throughout the world in effective and fair meeting management through the use of parliamentary procedure; and </w:t>
      </w:r>
    </w:p>
    <w:p w:rsidR="00AC2C55" w:rsidRPr="00AC2C55" w:rsidRDefault="00AC2C55" w:rsidP="00AC2C55">
      <w:pPr>
        <w:pStyle w:val="Default"/>
        <w:spacing w:before="120"/>
        <w:ind w:firstLine="720"/>
        <w:jc w:val="both"/>
        <w:rPr>
          <w:szCs w:val="28"/>
        </w:rPr>
      </w:pPr>
      <w:r w:rsidRPr="00AC2C55">
        <w:rPr>
          <w:b/>
          <w:szCs w:val="28"/>
        </w:rPr>
        <w:t>WHEREAS</w:t>
      </w:r>
      <w:r w:rsidRPr="00AC2C55">
        <w:rPr>
          <w:szCs w:val="28"/>
        </w:rPr>
        <w:t xml:space="preserve">, The National Association of Parliamentarians® is globally recognized as the premier provider of parliamentary leadership whose mission it is to provide education and resources to enable efficient and democratic decision making through the effective use of parliamentary procedure, now therefore be it </w:t>
      </w:r>
    </w:p>
    <w:p w:rsidR="00AC2C55" w:rsidRDefault="00AC2C55" w:rsidP="00AC2C55">
      <w:pPr>
        <w:spacing w:before="120" w:after="600"/>
        <w:ind w:firstLine="720"/>
        <w:jc w:val="both"/>
        <w:rPr>
          <w:rFonts w:ascii="Times New Roman" w:hAnsi="Times New Roman" w:cs="Times New Roman"/>
          <w:color w:val="333333"/>
          <w:sz w:val="24"/>
          <w:szCs w:val="28"/>
        </w:rPr>
      </w:pPr>
      <w:r w:rsidRPr="00AC2C55">
        <w:rPr>
          <w:rFonts w:ascii="Times New Roman" w:hAnsi="Times New Roman" w:cs="Times New Roman"/>
          <w:b/>
          <w:sz w:val="24"/>
          <w:szCs w:val="28"/>
        </w:rPr>
        <w:t>NOW, THEREFORE, BE IT RESOLVED THAT I,</w:t>
      </w:r>
      <w:r w:rsidRPr="00AC2C55">
        <w:rPr>
          <w:rFonts w:ascii="Times New Roman" w:hAnsi="Times New Roman" w:cs="Times New Roman"/>
          <w:sz w:val="24"/>
          <w:szCs w:val="28"/>
        </w:rPr>
        <w:t xml:space="preserve"> Mayor Nancy Adams, </w:t>
      </w:r>
      <w:r w:rsidRPr="00AC2C55">
        <w:rPr>
          <w:rFonts w:ascii="Times New Roman" w:hAnsi="Times New Roman" w:cs="Times New Roman"/>
          <w:color w:val="333333"/>
          <w:sz w:val="24"/>
          <w:szCs w:val="28"/>
        </w:rPr>
        <w:t xml:space="preserve">do hereby declare April 2025 as Parliamentary Law Month and call upon the districts, associations, units, and all members to observe the month with appropriate programs, ceremonies, and activities as a way to honor our rich legacy and bring our mission and vision into reality for current and future generations. </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796"/>
      </w:tblGrid>
      <w:tr w:rsidR="00AC2C55" w:rsidTr="00F811ED">
        <w:trPr>
          <w:jc w:val="right"/>
        </w:trPr>
        <w:tc>
          <w:tcPr>
            <w:tcW w:w="5395" w:type="dxa"/>
            <w:hideMark/>
          </w:tcPr>
          <w:p w:rsidR="00AC2C55" w:rsidRDefault="00AC2C55" w:rsidP="00F811ED">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______________________________</w:t>
            </w:r>
          </w:p>
          <w:p w:rsidR="00AC2C55" w:rsidRDefault="00AC2C55" w:rsidP="00F811ED">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Maplewood Clerk</w:t>
            </w:r>
          </w:p>
        </w:tc>
        <w:tc>
          <w:tcPr>
            <w:tcW w:w="5395" w:type="dxa"/>
            <w:hideMark/>
          </w:tcPr>
          <w:p w:rsidR="00AC2C55" w:rsidRDefault="00AC2C55" w:rsidP="00F811ED">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________________________________</w:t>
            </w:r>
          </w:p>
          <w:p w:rsidR="00AC2C55" w:rsidRDefault="00AC2C55" w:rsidP="00F811ED">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Mayor of Maplewood</w:t>
            </w:r>
          </w:p>
        </w:tc>
      </w:tr>
    </w:tbl>
    <w:p w:rsidR="00AC2C55" w:rsidRPr="00AC2C55" w:rsidRDefault="00AC2C55" w:rsidP="00AC2C55">
      <w:pPr>
        <w:spacing w:before="240" w:after="600"/>
        <w:jc w:val="both"/>
        <w:rPr>
          <w:rFonts w:ascii="Times New Roman" w:hAnsi="Times New Roman" w:cs="Times New Roman"/>
          <w:iCs/>
          <w:sz w:val="24"/>
          <w:szCs w:val="28"/>
        </w:rPr>
      </w:pPr>
    </w:p>
    <w:sectPr w:rsidR="00AC2C55" w:rsidRPr="00AC2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0sjSzMDcxtDQzMTVX0lEKTi0uzszPAykwrAUA0dJgoywAAAA="/>
  </w:docVars>
  <w:rsids>
    <w:rsidRoot w:val="00AC2C55"/>
    <w:rsid w:val="00A71F28"/>
    <w:rsid w:val="00AC2C55"/>
    <w:rsid w:val="00D70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BDAC0"/>
  <w15:chartTrackingRefBased/>
  <w15:docId w15:val="{2CE558D7-CCBB-4F08-A96E-FCA94FC6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2C5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C2C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1794</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2</cp:revision>
  <cp:lastPrinted>2025-04-14T18:47:00Z</cp:lastPrinted>
  <dcterms:created xsi:type="dcterms:W3CDTF">2025-04-07T13:35:00Z</dcterms:created>
  <dcterms:modified xsi:type="dcterms:W3CDTF">2025-04-14T18:53:00Z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5dddbf4a-606e-4c13-8624-7ecb71ed36b5</vt:lpwstr>
  </property>
</Properties>
</file>