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D295" w14:textId="77777777" w:rsidR="000A6599" w:rsidRDefault="000A6599">
      <w:pPr>
        <w:pStyle w:val="BodyText"/>
        <w:rPr>
          <w:sz w:val="20"/>
        </w:rPr>
      </w:pPr>
    </w:p>
    <w:p w14:paraId="74DF85D4" w14:textId="77777777" w:rsidR="000A6599" w:rsidRDefault="000A6599">
      <w:pPr>
        <w:pStyle w:val="BodyText"/>
        <w:rPr>
          <w:sz w:val="20"/>
        </w:rPr>
      </w:pPr>
    </w:p>
    <w:p w14:paraId="3E1DFED7" w14:textId="77777777" w:rsidR="000A6599" w:rsidRDefault="000A6599">
      <w:pPr>
        <w:pStyle w:val="BodyText"/>
        <w:rPr>
          <w:sz w:val="20"/>
        </w:rPr>
      </w:pPr>
    </w:p>
    <w:p w14:paraId="1FC65C71" w14:textId="77777777" w:rsidR="000A6599" w:rsidRDefault="000A6599">
      <w:pPr>
        <w:pStyle w:val="BodyText"/>
        <w:rPr>
          <w:sz w:val="20"/>
        </w:rPr>
      </w:pPr>
    </w:p>
    <w:p w14:paraId="17D528D4" w14:textId="77777777" w:rsidR="000A6599" w:rsidRDefault="000A6599">
      <w:pPr>
        <w:pStyle w:val="BodyText"/>
        <w:rPr>
          <w:sz w:val="20"/>
        </w:rPr>
      </w:pPr>
    </w:p>
    <w:p w14:paraId="678C1552" w14:textId="77777777" w:rsidR="000A6599" w:rsidRDefault="000A6599">
      <w:pPr>
        <w:pStyle w:val="BodyText"/>
        <w:rPr>
          <w:sz w:val="20"/>
        </w:rPr>
      </w:pPr>
    </w:p>
    <w:p w14:paraId="041ACF7F" w14:textId="77777777" w:rsidR="000A6599" w:rsidRDefault="000A6599">
      <w:pPr>
        <w:pStyle w:val="BodyText"/>
        <w:spacing w:before="6"/>
      </w:pPr>
    </w:p>
    <w:p w14:paraId="1396F369" w14:textId="77777777" w:rsidR="000A6599" w:rsidRDefault="00E04CA9">
      <w:pPr>
        <w:spacing w:before="85" w:line="352" w:lineRule="auto"/>
        <w:ind w:left="2313" w:right="2157" w:firstLine="989"/>
        <w:rPr>
          <w:sz w:val="36"/>
        </w:rPr>
      </w:pPr>
      <w:r>
        <w:rPr>
          <w:sz w:val="36"/>
        </w:rPr>
        <w:t>PROCLAMATION NATIONAL COMING OUT DAY</w:t>
      </w:r>
    </w:p>
    <w:p w14:paraId="395ED430" w14:textId="77777777" w:rsidR="006A1679" w:rsidRDefault="006A1679" w:rsidP="006A1679">
      <w:pPr>
        <w:pStyle w:val="NormalWeb"/>
        <w:ind w:firstLine="720"/>
        <w:jc w:val="both"/>
      </w:pPr>
      <w:r>
        <w:rPr>
          <w:rStyle w:val="Strong"/>
        </w:rPr>
        <w:t>WHEREAS</w:t>
      </w:r>
      <w:r>
        <w:t>, National Coming Out Day, observed each year on October 11, affirms visibility and awareness for lesbian, gay, bisexual, transgender, queer, intersex, asexual, and other LGBTQIA+ identities; and</w:t>
      </w:r>
    </w:p>
    <w:p w14:paraId="05FF0EFB" w14:textId="77777777" w:rsidR="006A1679" w:rsidRDefault="006A1679" w:rsidP="006A1679">
      <w:pPr>
        <w:pStyle w:val="NormalWeb"/>
        <w:ind w:firstLine="720"/>
        <w:jc w:val="both"/>
      </w:pPr>
      <w:r>
        <w:rPr>
          <w:rStyle w:val="Strong"/>
        </w:rPr>
        <w:t>WHEREAS</w:t>
      </w:r>
      <w:r>
        <w:t xml:space="preserve">, first celebrated in 1988 to mark the National March on Washington for Lesbian and Gay Rights, it has grown into an </w:t>
      </w:r>
      <w:proofErr w:type="gramStart"/>
      <w:r>
        <w:t>international day of affirmation</w:t>
      </w:r>
      <w:proofErr w:type="gramEnd"/>
      <w:r>
        <w:t>; and</w:t>
      </w:r>
    </w:p>
    <w:p w14:paraId="24EE68FC" w14:textId="77777777" w:rsidR="006A1679" w:rsidRDefault="006A1679" w:rsidP="006A1679">
      <w:pPr>
        <w:pStyle w:val="NormalWeb"/>
        <w:ind w:firstLine="720"/>
        <w:jc w:val="both"/>
      </w:pPr>
      <w:r>
        <w:rPr>
          <w:rStyle w:val="Strong"/>
        </w:rPr>
        <w:t>WHEREAS</w:t>
      </w:r>
      <w:r>
        <w:t>, “coming out”—publicly acknowledging one’s identity—has long been a significant and empowering step for many, while advocates also highlight “inviting in,” which emphasizes trust, agency, and choosing when and with whom to share one’s truth; and</w:t>
      </w:r>
    </w:p>
    <w:p w14:paraId="693E4F0E" w14:textId="77777777" w:rsidR="006A1679" w:rsidRDefault="006A1679" w:rsidP="006A1679">
      <w:pPr>
        <w:pStyle w:val="NormalWeb"/>
        <w:ind w:firstLine="720"/>
        <w:jc w:val="both"/>
      </w:pPr>
      <w:r>
        <w:rPr>
          <w:rStyle w:val="Strong"/>
        </w:rPr>
        <w:t>WHEREAS</w:t>
      </w:r>
      <w:r>
        <w:t>, both “coming out” and “inviting in” reflect the courage, authenticity, and resilience of LGBTQIA+ people, especially youth who may face bullying or discrimination, underscoring the need for supportive families, schools, and communities; and</w:t>
      </w:r>
    </w:p>
    <w:p w14:paraId="166BBF2E" w14:textId="77777777" w:rsidR="006A1679" w:rsidRDefault="006A1679" w:rsidP="006A1679">
      <w:pPr>
        <w:pStyle w:val="NormalWeb"/>
        <w:ind w:firstLine="720"/>
        <w:jc w:val="both"/>
      </w:pPr>
      <w:r>
        <w:rPr>
          <w:rStyle w:val="Strong"/>
        </w:rPr>
        <w:t>WHEREAS</w:t>
      </w:r>
      <w:r>
        <w:t>, the Township of Maplewood reaffirms its commitment to inclusion, dignity, and respect for all people.</w:t>
      </w:r>
    </w:p>
    <w:p w14:paraId="3E91FB30" w14:textId="77777777" w:rsidR="006A1679" w:rsidRDefault="006A1679" w:rsidP="006A1679">
      <w:pPr>
        <w:pStyle w:val="NormalWeb"/>
        <w:ind w:firstLine="720"/>
        <w:jc w:val="both"/>
      </w:pPr>
      <w:r>
        <w:rPr>
          <w:rStyle w:val="Strong"/>
        </w:rPr>
        <w:t>NOW, THEREFORE, BE IT RESOLVED</w:t>
      </w:r>
      <w:r>
        <w:t xml:space="preserve">, that I, Nancy Adams, Mayor of the Township of Maplewood, on behalf of the Maplewood Township Committee, do hereby proclaim October 11, 2025, as </w:t>
      </w:r>
      <w:r>
        <w:rPr>
          <w:rStyle w:val="Emphasis"/>
        </w:rPr>
        <w:t>National Coming Out Day</w:t>
      </w:r>
      <w:r>
        <w:t xml:space="preserve"> in the Township of Maplewood, honoring the courage of LGBTQIA+ individuals who come out and those who invite others in.</w:t>
      </w:r>
    </w:p>
    <w:p w14:paraId="0E560E04" w14:textId="138C443C" w:rsidR="000A6599" w:rsidRDefault="0020291A" w:rsidP="0020291A">
      <w:pPr>
        <w:pStyle w:val="BodyText"/>
        <w:ind w:firstLine="720"/>
        <w:jc w:val="both"/>
        <w:rPr>
          <w:sz w:val="20"/>
        </w:rPr>
      </w:pPr>
      <w:r>
        <w:rPr>
          <w:rStyle w:val="Strong"/>
        </w:rPr>
        <w:t>BE IT FURTHER RESOLVED</w:t>
      </w:r>
      <w:r>
        <w:t>, that residents seeking support or resources may turn to organizations including The Trevor Project (thetrevorproject.org), GLSEN (glsen.org), Garden State Equality (gardenstateequality.org), and the Human Rights Campaign (hrc.org), which provide vital education, advocacy, and assistance for LGBTQIA+ individuals, families, and allies.</w:t>
      </w:r>
    </w:p>
    <w:p w14:paraId="1664597E" w14:textId="77777777" w:rsidR="000A6599" w:rsidRDefault="000A6599">
      <w:pPr>
        <w:pStyle w:val="BodyText"/>
        <w:rPr>
          <w:sz w:val="20"/>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31FD" w14:paraId="2149980E" w14:textId="77777777" w:rsidTr="006931FD">
        <w:trPr>
          <w:trHeight w:val="810"/>
          <w:jc w:val="center"/>
        </w:trPr>
        <w:tc>
          <w:tcPr>
            <w:tcW w:w="4675" w:type="dxa"/>
          </w:tcPr>
          <w:p w14:paraId="35F0B686" w14:textId="77777777" w:rsidR="006931FD" w:rsidRDefault="006931FD">
            <w:pPr>
              <w:pStyle w:val="NormalWeb"/>
              <w:spacing w:before="0" w:beforeAutospacing="0" w:after="0" w:afterAutospacing="0"/>
              <w:jc w:val="center"/>
              <w:textAlignment w:val="baseline"/>
              <w:rPr>
                <w:color w:val="000000" w:themeColor="text1"/>
                <w:szCs w:val="21"/>
              </w:rPr>
            </w:pPr>
          </w:p>
          <w:p w14:paraId="6E970AB8" w14:textId="77777777" w:rsidR="006931FD" w:rsidRDefault="006931FD">
            <w:pPr>
              <w:pStyle w:val="NormalWeb"/>
              <w:spacing w:before="0" w:beforeAutospacing="0" w:after="0" w:afterAutospacing="0"/>
              <w:jc w:val="center"/>
              <w:textAlignment w:val="baseline"/>
              <w:rPr>
                <w:color w:val="000000" w:themeColor="text1"/>
                <w:szCs w:val="21"/>
              </w:rPr>
            </w:pPr>
          </w:p>
          <w:p w14:paraId="33831F18" w14:textId="77777777" w:rsidR="006931FD" w:rsidRDefault="006931FD">
            <w:pPr>
              <w:pStyle w:val="NormalWeb"/>
              <w:spacing w:before="0" w:beforeAutospacing="0" w:after="0" w:afterAutospacing="0"/>
              <w:jc w:val="center"/>
              <w:textAlignment w:val="baseline"/>
              <w:rPr>
                <w:color w:val="000000" w:themeColor="text1"/>
                <w:szCs w:val="21"/>
              </w:rPr>
            </w:pPr>
          </w:p>
          <w:p w14:paraId="484CA513" w14:textId="77777777" w:rsidR="006931FD" w:rsidRDefault="006931FD">
            <w:pPr>
              <w:pStyle w:val="NormalWeb"/>
              <w:spacing w:before="0" w:beforeAutospacing="0" w:after="0" w:afterAutospacing="0"/>
              <w:jc w:val="center"/>
              <w:textAlignment w:val="baseline"/>
              <w:rPr>
                <w:color w:val="000000" w:themeColor="text1"/>
                <w:szCs w:val="21"/>
              </w:rPr>
            </w:pPr>
            <w:r>
              <w:rPr>
                <w:color w:val="000000" w:themeColor="text1"/>
                <w:szCs w:val="21"/>
              </w:rPr>
              <w:t>______________________________</w:t>
            </w:r>
          </w:p>
          <w:p w14:paraId="3F659D13" w14:textId="77777777" w:rsidR="006931FD" w:rsidRDefault="006931FD">
            <w:pPr>
              <w:pStyle w:val="NormalWeb"/>
              <w:spacing w:before="0" w:beforeAutospacing="0" w:after="0" w:afterAutospacing="0"/>
              <w:jc w:val="center"/>
              <w:textAlignment w:val="baseline"/>
              <w:rPr>
                <w:color w:val="000000" w:themeColor="text1"/>
                <w:szCs w:val="21"/>
              </w:rPr>
            </w:pPr>
            <w:r>
              <w:rPr>
                <w:color w:val="000000" w:themeColor="text1"/>
                <w:szCs w:val="21"/>
              </w:rPr>
              <w:t>Township Clerk</w:t>
            </w:r>
          </w:p>
        </w:tc>
        <w:tc>
          <w:tcPr>
            <w:tcW w:w="4675" w:type="dxa"/>
          </w:tcPr>
          <w:p w14:paraId="3847AD35" w14:textId="77777777" w:rsidR="006931FD" w:rsidRDefault="006931FD">
            <w:pPr>
              <w:pStyle w:val="NormalWeb"/>
              <w:spacing w:before="0" w:beforeAutospacing="0" w:after="0" w:afterAutospacing="0"/>
              <w:jc w:val="center"/>
              <w:textAlignment w:val="baseline"/>
              <w:rPr>
                <w:color w:val="000000" w:themeColor="text1"/>
                <w:szCs w:val="21"/>
              </w:rPr>
            </w:pPr>
          </w:p>
          <w:p w14:paraId="30CC92C9" w14:textId="77777777" w:rsidR="006931FD" w:rsidRDefault="006931FD">
            <w:pPr>
              <w:pStyle w:val="NormalWeb"/>
              <w:spacing w:before="0" w:beforeAutospacing="0" w:after="0" w:afterAutospacing="0"/>
              <w:jc w:val="center"/>
              <w:textAlignment w:val="baseline"/>
              <w:rPr>
                <w:color w:val="000000" w:themeColor="text1"/>
                <w:szCs w:val="21"/>
              </w:rPr>
            </w:pPr>
          </w:p>
          <w:p w14:paraId="3327FC44" w14:textId="77777777" w:rsidR="006931FD" w:rsidRDefault="006931FD">
            <w:pPr>
              <w:pStyle w:val="NormalWeb"/>
              <w:spacing w:before="0" w:beforeAutospacing="0" w:after="0" w:afterAutospacing="0"/>
              <w:jc w:val="center"/>
              <w:textAlignment w:val="baseline"/>
              <w:rPr>
                <w:color w:val="000000" w:themeColor="text1"/>
                <w:szCs w:val="21"/>
              </w:rPr>
            </w:pPr>
          </w:p>
          <w:p w14:paraId="20058EFA" w14:textId="77777777" w:rsidR="006931FD" w:rsidRDefault="006931FD">
            <w:pPr>
              <w:pStyle w:val="NormalWeb"/>
              <w:spacing w:before="0" w:beforeAutospacing="0" w:after="0" w:afterAutospacing="0"/>
              <w:jc w:val="center"/>
              <w:textAlignment w:val="baseline"/>
              <w:rPr>
                <w:color w:val="000000" w:themeColor="text1"/>
                <w:szCs w:val="21"/>
              </w:rPr>
            </w:pPr>
            <w:r>
              <w:rPr>
                <w:color w:val="000000" w:themeColor="text1"/>
                <w:szCs w:val="21"/>
              </w:rPr>
              <w:t>_________________________________</w:t>
            </w:r>
          </w:p>
          <w:p w14:paraId="104AD13C" w14:textId="77777777" w:rsidR="006931FD" w:rsidRDefault="006931FD">
            <w:pPr>
              <w:pStyle w:val="NormalWeb"/>
              <w:spacing w:before="0" w:beforeAutospacing="0" w:after="0" w:afterAutospacing="0"/>
              <w:jc w:val="center"/>
              <w:textAlignment w:val="baseline"/>
              <w:rPr>
                <w:color w:val="000000" w:themeColor="text1"/>
                <w:szCs w:val="21"/>
              </w:rPr>
            </w:pPr>
            <w:r>
              <w:rPr>
                <w:color w:val="000000" w:themeColor="text1"/>
                <w:szCs w:val="21"/>
              </w:rPr>
              <w:t>Mayor</w:t>
            </w:r>
          </w:p>
        </w:tc>
      </w:tr>
    </w:tbl>
    <w:p w14:paraId="1F5B1FD7" w14:textId="77777777" w:rsidR="006931FD" w:rsidRDefault="006931FD" w:rsidP="006931FD">
      <w:pPr>
        <w:jc w:val="both"/>
        <w:rPr>
          <w:sz w:val="24"/>
        </w:rPr>
      </w:pPr>
    </w:p>
    <w:p w14:paraId="65717E06" w14:textId="6F92BC62" w:rsidR="000A6599" w:rsidRDefault="000A6599" w:rsidP="006931FD">
      <w:pPr>
        <w:pStyle w:val="BodyText"/>
        <w:tabs>
          <w:tab w:val="left" w:pos="7739"/>
        </w:tabs>
        <w:spacing w:line="268" w:lineRule="exact"/>
      </w:pPr>
    </w:p>
    <w:sectPr w:rsidR="000A6599">
      <w:type w:val="continuous"/>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MDExsDAzMTQwMzBT0lEKTi0uzszPAykwrAUAI06MgCwAAAA="/>
  </w:docVars>
  <w:rsids>
    <w:rsidRoot w:val="000A6599"/>
    <w:rsid w:val="000A6599"/>
    <w:rsid w:val="001C28C6"/>
    <w:rsid w:val="0020291A"/>
    <w:rsid w:val="003D1085"/>
    <w:rsid w:val="006931FD"/>
    <w:rsid w:val="006A1679"/>
    <w:rsid w:val="007219E7"/>
    <w:rsid w:val="00E04CA9"/>
    <w:rsid w:val="00F4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9463C6"/>
  <w15:docId w15:val="{89FBF3B0-AC7E-4044-B4D1-C4D0367D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A167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A1679"/>
    <w:rPr>
      <w:b/>
      <w:bCs/>
    </w:rPr>
  </w:style>
  <w:style w:type="character" w:styleId="Emphasis">
    <w:name w:val="Emphasis"/>
    <w:basedOn w:val="DefaultParagraphFont"/>
    <w:uiPriority w:val="20"/>
    <w:qFormat/>
    <w:rsid w:val="006A1679"/>
    <w:rPr>
      <w:i/>
      <w:iCs/>
    </w:rPr>
  </w:style>
  <w:style w:type="table" w:styleId="TableGrid">
    <w:name w:val="Table Grid"/>
    <w:basedOn w:val="TableNormal"/>
    <w:uiPriority w:val="39"/>
    <w:rsid w:val="006931FD"/>
    <w:pPr>
      <w:widowControl/>
      <w:autoSpaceDE/>
      <w:autoSpaceDN/>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3720">
      <w:bodyDiv w:val="1"/>
      <w:marLeft w:val="0"/>
      <w:marRight w:val="0"/>
      <w:marTop w:val="0"/>
      <w:marBottom w:val="0"/>
      <w:divBdr>
        <w:top w:val="none" w:sz="0" w:space="0" w:color="auto"/>
        <w:left w:val="none" w:sz="0" w:space="0" w:color="auto"/>
        <w:bottom w:val="none" w:sz="0" w:space="0" w:color="auto"/>
        <w:right w:val="none" w:sz="0" w:space="0" w:color="auto"/>
      </w:divBdr>
    </w:div>
    <w:div w:id="1141465551">
      <w:bodyDiv w:val="1"/>
      <w:marLeft w:val="0"/>
      <w:marRight w:val="0"/>
      <w:marTop w:val="0"/>
      <w:marBottom w:val="0"/>
      <w:divBdr>
        <w:top w:val="none" w:sz="0" w:space="0" w:color="auto"/>
        <w:left w:val="none" w:sz="0" w:space="0" w:color="auto"/>
        <w:bottom w:val="none" w:sz="0" w:space="0" w:color="auto"/>
        <w:right w:val="none" w:sz="0" w:space="0" w:color="auto"/>
      </w:divBdr>
    </w:div>
    <w:div w:id="134185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250</Words>
  <Characters>1550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Converted from C:\Windows\Temp\ufc\conversion-4380554\input.docx to C:\Windows\Temp\ufc\conversion-4380554\output.pdf by EasyPDFConvert.exe version 17.12.8.0 at 2022-09-30 19:39:49Z</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C:\Windows\Temp\ufc\conversion-4380554\input.docx to C:\Windows\Temp\ufc\conversion-4380554\output.pdf by EasyPDFConvert.exe version 17.12.8.0 at 2022-09-30 19:39:49Z</dc:title>
  <dc:creator>Amari Allah</dc:creator>
  <cp:lastModifiedBy>Amari Allah</cp:lastModifiedBy>
  <cp:revision>4</cp:revision>
  <dcterms:created xsi:type="dcterms:W3CDTF">2025-09-25T14:33:00Z</dcterms:created>
  <dcterms:modified xsi:type="dcterms:W3CDTF">2025-09-25T15:05:00Z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Legistar</vt:lpwstr>
  </property>
  <property fmtid="{D5CDD505-2E9C-101B-9397-08002B2CF9AE}" pid="4" name="LastSaved">
    <vt:filetime>2023-09-21T00:00:00Z</vt:filetime>
  </property>
  <property fmtid="{D5CDD505-2E9C-101B-9397-08002B2CF9AE}" pid="5" name="GrammarlyDocumentId">
    <vt:lpwstr>cc9512af29605cca2763388f6a9599f86781606ae6bcdee39fbb31f5ee075aa1</vt:lpwstr>
  </property>
</Properties>
</file>